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783080" cy="789780"/>
            <wp:docPr id="1" name="Picture 1" descr="Mastery Quests logo"/>
            <wp:cNvGraphicFramePr>
              <a:graphicFrameLocks noChangeAspect="1"/>
            </wp:cNvGraphicFramePr>
            <a:graphic>
              <a:graphicData uri="http://schemas.openxmlformats.org/drawingml/2006/picture">
                <pic:pic>
                  <pic:nvPicPr>
                    <pic:cNvPr id="0" name="mastery-quests-logo.png"/>
                    <pic:cNvPicPr/>
                  </pic:nvPicPr>
                  <pic:blipFill>
                    <a:blip r:embed="rId11"/>
                    <a:stretch>
                      <a:fillRect/>
                    </a:stretch>
                  </pic:blipFill>
                  <pic:spPr>
                    <a:xfrm>
                      <a:off x="0" y="0"/>
                      <a:ext cx="1783080" cy="789780"/>
                    </a:xfrm>
                    <a:prstGeom prst="rect"/>
                  </pic:spPr>
                </pic:pic>
              </a:graphicData>
            </a:graphic>
          </wp:inline>
        </w:drawing>
      </w:r>
    </w:p>
    <w:p>
      <w:pPr>
        <w:pStyle w:val="Eyebrow"/>
      </w:pPr>
      <w:r>
        <w:t>FACULTY QUICK GUIDE</w:t>
      </w:r>
    </w:p>
    <w:p>
      <w:pPr>
        <w:pStyle w:val="Title"/>
        <w:spacing w:after="80"/>
      </w:pPr>
      <w:r>
        <w:t>Composer + LMS Quick Start</w:t>
      </w:r>
    </w:p>
    <w:p>
      <w:pPr>
        <w:pStyle w:val="Subtitle"/>
        <w:spacing w:after="240"/>
      </w:pPr>
      <w:r>
        <w:t>Build an economics Mastery Quest, publish its self-contained game HTML, and place the game in your LMS.</w:t>
      </w:r>
    </w:p>
    <w:tbl>
      <w:tblPr>
        <w:tblW w:type="auto" w:w="0"/>
        <w:jc w:val="center"/>
        <w:tblLayout w:type="autofit"/>
        <w:tblLook w:firstColumn="1" w:firstRow="1" w:lastColumn="0" w:lastRow="0" w:noHBand="0" w:noVBand="1" w:val="04A0"/>
      </w:tblPr>
      <w:tblGrid>
        <w:gridCol w:w="10166"/>
      </w:tblGrid>
      <w:tr>
        <w:tc>
          <w:tcPr>
            <w:tcW w:type="dxa" w:w="10166"/>
            <w:shd w:fill="EAF7F7"/>
            <w:tcBorders>
              <w:top w:val="nil"/>
              <w:left w:val="single" w:sz="20" w:color="0FA9A5"/>
              <w:bottom w:val="nil"/>
              <w:right w:val="nil"/>
            </w:tcBorders>
          </w:tcPr>
          <w:p>
            <w:r>
              <w:t>Fast path: Choose a course area and starter combination, enable the modes you want, choose an official theme or optional custom images, review Readiness, Generate, and publish the self-contained game HTML. Concept Reviews open from the Mastery Quests web library when recommended. No JavaScript editing is required.</w:t>
            </w:r>
          </w:p>
        </w:tc>
      </w:tr>
    </w:tbl>
    <w:p>
      <w:pPr>
        <w:spacing w:after="0"/>
      </w:pPr>
    </w:p>
    <w:p>
      <w:pPr>
        <w:pStyle w:val="Heading1"/>
      </w:pPr>
      <w:r>
        <w:t>1. Build the game in the Composer</w:t>
      </w:r>
    </w:p>
    <w:tbl>
      <w:tblPr>
        <w:tblW w:type="auto" w:w="0"/>
        <w:jc w:val="center"/>
        <w:tblLayout w:type="fixed"/>
        <w:tblLook w:firstColumn="1" w:firstRow="1" w:lastColumn="0" w:lastRow="0" w:noHBand="0" w:noVBand="1" w:val="04A0"/>
      </w:tblPr>
      <w:tblGrid>
        <w:gridCol w:w="792"/>
        <w:gridCol w:w="9000"/>
      </w:tblGrid>
      <w:tr>
        <w:tc>
          <w:tcPr>
            <w:tcW w:type="dxa" w:w="792"/>
            <w:vAlign w:val="top"/>
            <w:shd w:fill="062454"/>
            <w:tcBorders>
              <w:bottom w:val="single" w:sz="6" w:color="DDE5EC"/>
            </w:tcBorders>
          </w:tcPr>
          <w:p>
            <w:pPr>
              <w:jc w:val="center"/>
            </w:pPr>
            <w:r>
              <w:rPr>
                <w:rFonts w:ascii="Aptos" w:hAnsi="Aptos"/>
                <w:b/>
                <w:color w:val="FFFFFF"/>
                <w:sz w:val="24"/>
              </w:rPr>
              <w:t>01</w:t>
            </w:r>
          </w:p>
        </w:tc>
        <w:tc>
          <w:tcPr>
            <w:tcW w:type="dxa" w:w="9000"/>
            <w:vAlign w:val="top"/>
            <w:shd w:fill="FFFFFF"/>
            <w:tcBorders>
              <w:bottom w:val="single" w:sz="6" w:color="DDE5EC"/>
            </w:tcBorders>
          </w:tcPr>
          <w:p>
            <w:pPr>
              <w:spacing w:after="80"/>
            </w:pPr>
            <w:r>
              <w:rPr>
                <w:rFonts w:ascii="Aptos" w:hAnsi="Aptos"/>
                <w:b/>
                <w:color w:val="062454"/>
                <w:sz w:val="22"/>
              </w:rPr>
              <w:t>Game details</w:t>
            </w:r>
            <w:r>
              <w:br/>
            </w:r>
            <w:r>
              <w:rPr>
                <w:rFonts w:ascii="Aptos" w:hAnsi="Aptos"/>
                <w:color w:val="0A172A"/>
                <w:sz w:val="20"/>
              </w:rPr>
              <w:t>Give the game a student-facing title. Keep or edit the lowercase file name.</w:t>
            </w:r>
          </w:p>
        </w:tc>
      </w:tr>
      <w:tr>
        <w:tc>
          <w:tcPr>
            <w:tcW w:type="dxa" w:w="792"/>
            <w:vAlign w:val="top"/>
            <w:shd w:fill="062454"/>
            <w:tcBorders>
              <w:bottom w:val="single" w:sz="6" w:color="DDE5EC"/>
            </w:tcBorders>
          </w:tcPr>
          <w:p>
            <w:pPr>
              <w:jc w:val="center"/>
            </w:pPr>
            <w:r>
              <w:rPr>
                <w:rFonts w:ascii="Aptos" w:hAnsi="Aptos"/>
                <w:b/>
                <w:color w:val="FFFFFF"/>
                <w:sz w:val="24"/>
              </w:rPr>
              <w:t>02</w:t>
            </w:r>
          </w:p>
        </w:tc>
        <w:tc>
          <w:tcPr>
            <w:tcW w:type="dxa" w:w="9000"/>
            <w:vAlign w:val="top"/>
            <w:shd w:fill="FFFFFF"/>
            <w:tcBorders>
              <w:bottom w:val="single" w:sz="6" w:color="DDE5EC"/>
            </w:tcBorders>
          </w:tcPr>
          <w:p>
            <w:r>
              <w:t>Modes</w:t>
              <w:br/>
              <w:t>Enable only the modes you plan to offer. The current set is Standard Campaign, Timed Trial, Exam Drill, Legendary Mode, Score Attack, Quiz, Unlimited Practice, Trial by Graph, Fading Fortune, and Risk &amp; Reward.</w:t>
            </w:r>
          </w:p>
        </w:tc>
      </w:tr>
      <w:tr>
        <w:tc>
          <w:tcPr>
            <w:tcW w:type="dxa" w:w="792"/>
            <w:vAlign w:val="top"/>
            <w:shd w:fill="062454"/>
            <w:tcBorders>
              <w:bottom w:val="single" w:sz="6" w:color="DDE5EC"/>
            </w:tcBorders>
          </w:tcPr>
          <w:p>
            <w:pPr>
              <w:jc w:val="center"/>
            </w:pPr>
            <w:r>
              <w:rPr>
                <w:rFonts w:ascii="Aptos" w:hAnsi="Aptos"/>
                <w:b/>
                <w:color w:val="FFFFFF"/>
                <w:sz w:val="24"/>
              </w:rPr>
              <w:t>03</w:t>
            </w:r>
          </w:p>
        </w:tc>
        <w:tc>
          <w:tcPr>
            <w:tcW w:type="dxa" w:w="9000"/>
            <w:vAlign w:val="top"/>
            <w:shd w:fill="FFFFFF"/>
            <w:tcBorders>
              <w:bottom w:val="single" w:sz="6" w:color="DDE5EC"/>
            </w:tcBorders>
          </w:tcPr>
          <w:p>
            <w:r>
              <w:t>Concepts</w:t>
              <w:br/>
              <w:t>Choose General Economics, Microeconomics, or Macroeconomics. All, Ready, and Supporting stay scoped to that area; Micro also exposes granular parent/child families.</w:t>
            </w:r>
          </w:p>
        </w:tc>
      </w:tr>
      <w:tr>
        <w:tc>
          <w:tcPr>
            <w:tcW w:type="dxa" w:w="792"/>
            <w:vAlign w:val="top"/>
            <w:shd w:fill="062454"/>
            <w:tcBorders>
              <w:bottom w:val="single" w:sz="6" w:color="DDE5EC"/>
            </w:tcBorders>
          </w:tcPr>
          <w:p>
            <w:pPr>
              <w:jc w:val="center"/>
            </w:pPr>
            <w:r>
              <w:rPr>
                <w:rFonts w:ascii="Aptos" w:hAnsi="Aptos"/>
                <w:b/>
                <w:color w:val="FFFFFF"/>
                <w:sz w:val="24"/>
              </w:rPr>
              <w:t>04</w:t>
            </w:r>
          </w:p>
        </w:tc>
        <w:tc>
          <w:tcPr>
            <w:tcW w:type="dxa" w:w="9000"/>
            <w:vAlign w:val="top"/>
            <w:shd w:fill="FFFFFF"/>
            <w:tcBorders>
              <w:bottom w:val="single" w:sz="6" w:color="DDE5EC"/>
            </w:tcBorders>
          </w:tcPr>
          <w:p>
            <w:pPr>
              <w:spacing w:after="80"/>
            </w:pPr>
            <w:r>
              <w:rPr>
                <w:rFonts w:ascii="Aptos" w:hAnsi="Aptos"/>
                <w:b/>
                <w:color w:val="062454"/>
                <w:sz w:val="22"/>
              </w:rPr>
              <w:t>Checkpoints</w:t>
            </w:r>
            <w:r>
              <w:br/>
            </w:r>
            <w:r>
              <w:rPr>
                <w:rFonts w:ascii="Aptos" w:hAnsi="Aptos"/>
                <w:color w:val="0A172A"/>
                <w:sz w:val="20"/>
              </w:rPr>
              <w:t>Review automatic checkpoint coverage. Optional focus narrows which eligible concepts supply a checkpoint; it does not remove ordinary questions.</w:t>
            </w:r>
          </w:p>
        </w:tc>
      </w:tr>
      <w:tr>
        <w:tc>
          <w:tcPr>
            <w:tcW w:type="dxa" w:w="792"/>
            <w:vAlign w:val="top"/>
            <w:shd w:fill="062454"/>
            <w:tcBorders>
              <w:bottom w:val="single" w:sz="6" w:color="DDE5EC"/>
            </w:tcBorders>
          </w:tcPr>
          <w:p>
            <w:pPr>
              <w:jc w:val="center"/>
            </w:pPr>
            <w:r>
              <w:rPr>
                <w:b/>
                <w:color w:val="FFFFFF"/>
              </w:rPr>
              <w:t>05</w:t>
            </w:r>
            <w:r>
              <w:rPr>
                <w:color w:val="FFFFFF"/>
              </w:rPr>
              <w:br/>
            </w:r>
            <w:r>
              <w:rPr>
                <w:color w:val="FFFFFF"/>
              </w:rPr>
            </w:r>
          </w:p>
        </w:tc>
        <w:tc>
          <w:tcPr>
            <w:tcW w:type="dxa" w:w="9000"/>
            <w:vAlign w:val="top"/>
            <w:shd w:fill="FFFFFF"/>
            <w:tcBorders>
              <w:bottom w:val="single" w:sz="6" w:color="DDE5EC"/>
            </w:tcBorders>
          </w:tcPr>
          <w:p>
            <w:pPr>
              <w:spacing w:after="80"/>
            </w:pPr>
            <w:r>
              <w:rPr>
                <w:b/>
              </w:rPr>
              <w:t>Appearance</w:t>
            </w:r>
            <w:r>
              <w:br/>
            </w:r>
            <w:r>
              <w:t>Choose an official theme, keep its artwork, or replace individual slots with official or custom images.</w:t>
            </w:r>
          </w:p>
        </w:tc>
      </w:tr>
      <w:tr>
        <w:tc>
          <w:tcPr>
            <w:tcW w:type="dxa" w:w="792"/>
            <w:vAlign w:val="top"/>
            <w:shd w:fill="062454"/>
            <w:tcBorders>
              <w:bottom w:val="single" w:sz="6" w:color="DDE5EC"/>
            </w:tcBorders>
          </w:tcPr>
          <w:p>
            <w:pPr>
              <w:jc w:val="center"/>
            </w:pPr>
            <w:r>
              <w:rPr>
                <w:b/>
                <w:color w:val="FFFFFF"/>
              </w:rPr>
              <w:t>06</w:t>
            </w:r>
            <w:r>
              <w:rPr>
                <w:color w:val="FFFFFF"/>
              </w:rPr>
              <w:br/>
            </w:r>
            <w:r>
              <w:rPr>
                <w:color w:val="FFFFFF"/>
              </w:rPr>
            </w:r>
          </w:p>
        </w:tc>
        <w:tc>
          <w:tcPr>
            <w:tcW w:type="dxa" w:w="9000"/>
            <w:vAlign w:val="top"/>
            <w:shd w:fill="FFFFFF"/>
            <w:tcBorders>
              <w:bottom w:val="single" w:sz="6" w:color="DDE5EC"/>
            </w:tcBorders>
          </w:tcPr>
          <w:p>
            <w:pPr>
              <w:spacing w:after="80"/>
            </w:pPr>
            <w:r>
              <w:rPr>
                <w:b/>
              </w:rPr>
              <w:t>Readiness</w:t>
            </w:r>
            <w:r>
              <w:br/>
            </w:r>
            <w:r>
              <w:t>Fix blocking coverage issues. The Composer also shows the estimated package size.</w:t>
            </w:r>
          </w:p>
        </w:tc>
      </w:tr>
      <w:tr>
        <w:tc>
          <w:tcPr>
            <w:tcW w:type="dxa" w:w="792"/>
            <w:vAlign w:val="top"/>
            <w:shd w:fill="062454"/>
            <w:tcBorders>
              <w:bottom w:val="single" w:sz="6" w:color="DDE5EC"/>
            </w:tcBorders>
          </w:tcPr>
          <w:p>
            <w:pPr>
              <w:jc w:val="center"/>
            </w:pPr>
            <w:r>
              <w:rPr>
                <w:b/>
                <w:color w:val="FFFFFF"/>
              </w:rPr>
              <w:t>07</w:t>
            </w:r>
            <w:r>
              <w:rPr>
                <w:color w:val="FFFFFF"/>
              </w:rPr>
              <w:br/>
            </w:r>
            <w:r>
              <w:rPr>
                <w:color w:val="FFFFFF"/>
              </w:rPr>
            </w:r>
          </w:p>
        </w:tc>
        <w:tc>
          <w:tcPr>
            <w:tcW w:type="dxa" w:w="9000"/>
            <w:vAlign w:val="top"/>
            <w:shd w:fill="FFFFFF"/>
            <w:tcBorders>
              <w:bottom w:val="single" w:sz="6" w:color="DDE5EC"/>
            </w:tcBorders>
          </w:tcPr>
          <w:p>
            <w:r>
              <w:rPr>
                <w:b/>
              </w:rPr>
              <w:t>Generate</w:t>
            </w:r>
            <w:r>
              <w:br/>
            </w:r>
            <w:r>
              <w:t>Download the ZIP. Keep the composition recipe and faculty build records for later revisions.</w:t>
            </w:r>
          </w:p>
        </w:tc>
      </w:tr>
    </w:tbl>
    <w:p>
      <w:pPr>
        <w:spacing w:after="0"/>
      </w:pPr>
    </w:p>
    <w:p>
      <w:pPr>
        <w:pStyle w:val="Heading2"/>
      </w:pPr>
      <w:r>
        <w:t>What the ZIP contains</w:t>
      </w:r>
    </w:p>
    <w:p>
      <w:pPr>
        <w:pStyle w:val="ListBullet"/>
        <w:spacing w:after="50"/>
        <w:ind w:left="360" w:hanging="173"/>
      </w:pPr>
      <w:r>
        <w:t>The generated .html file - the game; graph images, selected official or custom artwork, and runtime logic are embedded.</w:t>
      </w:r>
    </w:p>
    <w:p>
      <w:pPr>
        <w:pStyle w:val="ListBullet"/>
        <w:spacing w:after="50"/>
        <w:ind w:left="360" w:hanging="173"/>
      </w:pPr>
      <w:r>
        <w:rPr>
          <w:rFonts w:ascii="Aptos" w:hAnsi="Aptos"/>
          <w:color w:val="0A172A"/>
          <w:sz w:val="21"/>
        </w:rPr>
        <w:t>composition_recipe.json — reopen the same concept and mode selections later.</w:t>
      </w:r>
    </w:p>
    <w:p>
      <w:pPr>
        <w:pStyle w:val="ListBullet"/>
        <w:spacing w:after="50"/>
        <w:ind w:left="360" w:hanging="173"/>
      </w:pPr>
      <w:r>
        <w:rPr>
          <w:rFonts w:ascii="Aptos" w:hAnsi="Aptos"/>
          <w:color w:val="0A172A"/>
          <w:sz w:val="21"/>
        </w:rPr>
        <w:t>composition_manifest.json — a record of what was included in the build.</w:t>
      </w:r>
    </w:p>
    <w:p>
      <w:pPr>
        <w:pStyle w:val="ListBullet"/>
        <w:spacing w:after="50"/>
        <w:ind w:left="360" w:hanging="173"/>
      </w:pPr>
      <w:r>
        <w:t>README.txt - current build and deployment notes.</w:t>
      </w:r>
    </w:p>
    <w:p>
      <w:pPr>
        <w:pStyle w:val="ListBullet"/>
      </w:pPr>
      <w:r>
        <w:t>Concept Review routing is embedded in the generated game. Review PDFs remain in the Mastery Quests web library and are not copied into the ZIP.</w:t>
      </w:r>
    </w:p>
    <w:tbl>
      <w:tblPr>
        <w:tblW w:type="auto" w:w="0"/>
        <w:jc w:val="center"/>
        <w:tblLayout w:type="autofit"/>
        <w:tblLook w:firstColumn="1" w:firstRow="1" w:lastColumn="0" w:lastRow="0" w:noHBand="0" w:noVBand="1" w:val="04A0"/>
      </w:tblPr>
      <w:tblGrid>
        <w:gridCol w:w="10166"/>
      </w:tblGrid>
      <w:tr>
        <w:tc>
          <w:tcPr>
            <w:tcW w:type="dxa" w:w="10166"/>
            <w:shd w:fill="EAF7F7"/>
            <w:tcBorders>
              <w:top w:val="nil"/>
              <w:left w:val="single" w:sz="20" w:color="0FA9A5"/>
              <w:bottom w:val="nil"/>
              <w:right w:val="nil"/>
            </w:tcBorders>
          </w:tcPr>
          <w:p>
            <w:r>
              <w:t>Publish the generated game HTML. The recipe, composition manifest, and README are faculty records and do not need to be hosted. When the report recommends a Concept Review, the game opens the corresponding PDF from the Mastery Quests web library.</w:t>
            </w:r>
          </w:p>
        </w:tc>
      </w:tr>
    </w:tbl>
    <w:p>
      <w:pPr>
        <w:spacing w:after="0"/>
      </w:pPr>
    </w:p>
    <w:p>
      <w:pPr>
        <w:pStyle w:val="Heading1"/>
      </w:pPr>
      <w:r>
        <w:t>2. Publish the game with GitHub Pages</w:t>
      </w:r>
    </w:p>
    <w:tbl>
      <w:tblPr>
        <w:tblW w:type="auto" w:w="0"/>
        <w:jc w:val="center"/>
        <w:tblLayout w:type="fixed"/>
        <w:tblLook w:firstColumn="1" w:firstRow="1" w:lastColumn="0" w:lastRow="0" w:noHBand="0" w:noVBand="1" w:val="04A0"/>
      </w:tblPr>
      <w:tblGrid>
        <w:gridCol w:w="792"/>
        <w:gridCol w:w="9000"/>
      </w:tblGrid>
      <w:tr>
        <w:tc>
          <w:tcPr>
            <w:tcW w:type="dxa" w:w="792"/>
            <w:vAlign w:val="top"/>
            <w:shd w:fill="062454"/>
            <w:tcBorders>
              <w:bottom w:val="single" w:sz="6" w:color="DDE5EC"/>
            </w:tcBorders>
          </w:tcPr>
          <w:p>
            <w:pPr>
              <w:jc w:val="center"/>
            </w:pPr>
            <w:r>
              <w:rPr>
                <w:rFonts w:ascii="Aptos" w:hAnsi="Aptos"/>
                <w:b/>
                <w:color w:val="FFFFFF"/>
                <w:sz w:val="24"/>
              </w:rPr>
              <w:t>01</w:t>
            </w:r>
          </w:p>
        </w:tc>
        <w:tc>
          <w:tcPr>
            <w:tcW w:type="dxa" w:w="9000"/>
            <w:vAlign w:val="top"/>
            <w:shd w:fill="FFFFFF"/>
            <w:tcBorders>
              <w:bottom w:val="single" w:sz="6" w:color="DDE5EC"/>
            </w:tcBorders>
          </w:tcPr>
          <w:p>
            <w:r>
              <w:t>Extract the ZIP</w:t>
              <w:br/>
              <w:t>Locate the generated HTML file. The other ZIP files are faculty build records.</w:t>
            </w:r>
          </w:p>
        </w:tc>
      </w:tr>
      <w:tr>
        <w:tc>
          <w:tcPr>
            <w:tcW w:type="dxa" w:w="792"/>
            <w:vAlign w:val="top"/>
            <w:shd w:fill="062454"/>
            <w:tcBorders>
              <w:bottom w:val="single" w:sz="6" w:color="DDE5EC"/>
            </w:tcBorders>
          </w:tcPr>
          <w:p>
            <w:pPr>
              <w:jc w:val="center"/>
            </w:pPr>
            <w:r>
              <w:rPr>
                <w:rFonts w:ascii="Aptos" w:hAnsi="Aptos"/>
                <w:b/>
                <w:color w:val="FFFFFF"/>
                <w:sz w:val="24"/>
              </w:rPr>
              <w:t>02</w:t>
            </w:r>
          </w:p>
        </w:tc>
        <w:tc>
          <w:tcPr>
            <w:tcW w:type="dxa" w:w="9000"/>
            <w:vAlign w:val="top"/>
            <w:shd w:fill="FFFFFF"/>
            <w:tcBorders>
              <w:bottom w:val="single" w:sz="6" w:color="DDE5EC"/>
            </w:tcBorders>
          </w:tcPr>
          <w:p>
            <w:pPr>
              <w:spacing w:after="80"/>
            </w:pPr>
            <w:r>
              <w:rPr>
                <w:rFonts w:ascii="Aptos" w:hAnsi="Aptos"/>
                <w:b/>
                <w:color w:val="062454"/>
                <w:sz w:val="22"/>
              </w:rPr>
              <w:t>Rename it index.html</w:t>
            </w:r>
            <w:r>
              <w:br/>
            </w:r>
            <w:r>
              <w:rPr>
                <w:rFonts w:ascii="Aptos" w:hAnsi="Aptos"/>
                <w:color w:val="0A172A"/>
                <w:sz w:val="20"/>
              </w:rPr>
              <w:t>This is optional, but it gives you the cleanest public URL.</w:t>
            </w:r>
          </w:p>
        </w:tc>
      </w:tr>
      <w:tr>
        <w:tc>
          <w:tcPr>
            <w:tcW w:type="dxa" w:w="792"/>
            <w:vAlign w:val="top"/>
            <w:shd w:fill="062454"/>
            <w:tcBorders>
              <w:bottom w:val="single" w:sz="6" w:color="DDE5EC"/>
            </w:tcBorders>
          </w:tcPr>
          <w:p>
            <w:pPr>
              <w:jc w:val="center"/>
            </w:pPr>
            <w:r>
              <w:rPr>
                <w:rFonts w:ascii="Aptos" w:hAnsi="Aptos"/>
                <w:b/>
                <w:color w:val="FFFFFF"/>
                <w:sz w:val="24"/>
              </w:rPr>
              <w:t>03</w:t>
            </w:r>
          </w:p>
        </w:tc>
        <w:tc>
          <w:tcPr>
            <w:tcW w:type="dxa" w:w="9000"/>
            <w:vAlign w:val="top"/>
            <w:shd w:fill="FFFFFF"/>
            <w:tcBorders>
              <w:bottom w:val="single" w:sz="6" w:color="DDE5EC"/>
            </w:tcBorders>
          </w:tcPr>
          <w:p>
            <w:r>
              <w:t>Upload the game HTML</w:t>
              <w:br/>
              <w:t>Place index.html at the publishing root. No sibling Concept Review folder is required.</w:t>
            </w:r>
          </w:p>
        </w:tc>
      </w:tr>
      <w:tr>
        <w:tc>
          <w:tcPr>
            <w:tcW w:type="dxa" w:w="792"/>
            <w:vAlign w:val="top"/>
            <w:shd w:fill="062454"/>
            <w:tcBorders>
              <w:bottom w:val="single" w:sz="6" w:color="DDE5EC"/>
            </w:tcBorders>
          </w:tcPr>
          <w:p>
            <w:pPr>
              <w:jc w:val="center"/>
            </w:pPr>
            <w:r>
              <w:rPr>
                <w:rFonts w:ascii="Aptos" w:hAnsi="Aptos"/>
                <w:b/>
                <w:color w:val="FFFFFF"/>
                <w:sz w:val="24"/>
              </w:rPr>
              <w:t>04</w:t>
            </w:r>
          </w:p>
        </w:tc>
        <w:tc>
          <w:tcPr>
            <w:tcW w:type="dxa" w:w="9000"/>
            <w:vAlign w:val="top"/>
            <w:shd w:fill="FFFFFF"/>
            <w:tcBorders>
              <w:bottom w:val="single" w:sz="6" w:color="DDE5EC"/>
            </w:tcBorders>
          </w:tcPr>
          <w:p>
            <w:pPr>
              <w:spacing w:after="80"/>
            </w:pPr>
            <w:r>
              <w:rPr>
                <w:rFonts w:ascii="Aptos" w:hAnsi="Aptos"/>
                <w:b/>
                <w:color w:val="062454"/>
                <w:sz w:val="22"/>
              </w:rPr>
              <w:t>Enable GitHub Pages</w:t>
            </w:r>
            <w:r>
              <w:br/>
            </w:r>
            <w:r>
              <w:rPr>
                <w:rFonts w:ascii="Aptos" w:hAnsi="Aptos"/>
                <w:color w:val="0A172A"/>
                <w:sz w:val="20"/>
              </w:rPr>
              <w:t>Repository Settings → Pages → Deploy from a branch → main → /(root) → Save.</w:t>
            </w:r>
          </w:p>
        </w:tc>
      </w:tr>
      <w:tr>
        <w:tc>
          <w:tcPr>
            <w:tcW w:type="dxa" w:w="792"/>
            <w:vAlign w:val="top"/>
            <w:shd w:fill="062454"/>
            <w:tcBorders>
              <w:bottom w:val="single" w:sz="6" w:color="DDE5EC"/>
            </w:tcBorders>
          </w:tcPr>
          <w:p>
            <w:pPr>
              <w:jc w:val="center"/>
            </w:pPr>
            <w:r>
              <w:rPr>
                <w:rFonts w:ascii="Aptos" w:hAnsi="Aptos"/>
                <w:b/>
                <w:color w:val="FFFFFF"/>
                <w:sz w:val="24"/>
              </w:rPr>
              <w:t>05</w:t>
            </w:r>
          </w:p>
        </w:tc>
        <w:tc>
          <w:tcPr>
            <w:tcW w:type="dxa" w:w="9000"/>
            <w:vAlign w:val="top"/>
            <w:shd w:fill="FFFFFF"/>
            <w:tcBorders>
              <w:bottom w:val="single" w:sz="6" w:color="DDE5EC"/>
            </w:tcBorders>
          </w:tcPr>
          <w:p>
            <w:pPr>
              <w:spacing w:after="80"/>
            </w:pPr>
            <w:r>
              <w:rPr>
                <w:rFonts w:ascii="Aptos" w:hAnsi="Aptos"/>
                <w:b/>
                <w:color w:val="062454"/>
                <w:sz w:val="22"/>
              </w:rPr>
              <w:t>Test the public URL</w:t>
              <w:br/>
              <w:t>Open the Pages URL in a private browser window and run the game before adding it to your LMS.</w:t>
            </w:r>
            <w:r/>
            <w:r>
              <w:rPr>
                <w:rFonts w:ascii="Aptos" w:hAnsi="Aptos"/>
                <w:color w:val="0A172A"/>
                <w:sz w:val="20"/>
              </w:rPr>
            </w:r>
          </w:p>
        </w:tc>
      </w:tr>
    </w:tbl>
    <w:p>
      <w:pPr>
        <w:spacing w:after="0"/>
      </w:pPr>
    </w:p>
    <w:p>
      <w:pPr>
        <w:pStyle w:val="Heading1"/>
      </w:pPr>
      <w:r>
        <w:t>3. Add the game to your LMS</w:t>
      </w:r>
    </w:p>
    <w:tbl>
      <w:tblPr>
        <w:tblW w:type="auto" w:w="0"/>
        <w:jc w:val="center"/>
        <w:tblLayout w:type="autofit"/>
        <w:tblLook w:firstColumn="1" w:firstRow="1" w:lastColumn="0" w:lastRow="0" w:noHBand="0" w:noVBand="1" w:val="04A0"/>
      </w:tblPr>
      <w:tblGrid>
        <w:gridCol w:w="10166"/>
      </w:tblGrid>
      <w:tr>
        <w:tc>
          <w:tcPr>
            <w:tcW w:type="dxa" w:w="10166"/>
            <w:shd w:fill="EAF7F7"/>
            <w:tcBorders>
              <w:top w:val="nil"/>
              <w:left w:val="single" w:sz="20" w:color="0FA9A5"/>
              <w:bottom w:val="nil"/>
              <w:right w:val="nil"/>
            </w:tcBorders>
          </w:tcPr>
          <w:p>
            <w:r>
              <w:t>The hosted index.html is the game. Add its public HTTPS URL to your LMS as an external link, or embed it if your LMS and institution permit external iframe content. No second wrapper file is required. Concept Reviews open from the Mastery Quests web library when recommended.</w:t>
            </w:r>
          </w:p>
        </w:tc>
      </w:tr>
    </w:tbl>
    <w:p>
      <w:pPr>
        <w:spacing w:after="0"/>
      </w:pPr>
    </w:p>
    <w:p>
      <w:pPr>
        <w:ind w:left="288" w:right="288"/>
      </w:pPr>
      <w:r>
        <w:rPr>
          <w:rFonts w:ascii="Consolas" w:hAnsi="Consolas"/>
          <w:color w:val="0A172A"/>
          <w:sz w:val="17"/>
        </w:rPr>
        <w:t>&lt;iframe</w:t>
        <w:br/>
        <w:t xml:space="preserve">  src="https://YOURUSERNAME.github.io/YOUR-REPO/"</w:t>
        <w:br/>
        <w:t xml:space="preserve">  width="100%"</w:t>
        <w:br/>
        <w:t xml:space="preserve">  height="900"</w:t>
        <w:br/>
        <w:t xml:space="preserve">  style="border:0;"</w:t>
        <w:br/>
        <w:t xml:space="preserve">  loading="lazy"</w:t>
        <w:br/>
        <w:t xml:space="preserve">  allowfullscreen&gt;</w:t>
        <w:br/>
        <w:t>&lt;/iframe&gt;</w:t>
      </w:r>
    </w:p>
    <w:p>
      <w:pPr>
        <w:pStyle w:val="ListBullet"/>
        <w:spacing w:after="50"/>
        <w:ind w:left="360" w:hanging="173"/>
      </w:pPr>
      <w:r>
        <w:rPr>
          <w:rFonts w:ascii="Aptos" w:hAnsi="Aptos"/>
          <w:color w:val="0A172A"/>
          <w:sz w:val="21"/>
        </w:rPr>
        <w:t>For a link, add the public GitHub Pages URL using your LMS's normal link or module tool. For an embed, open the LMS HTML/source editor if one is available.</w:t>
      </w:r>
    </w:p>
    <w:p>
      <w:pPr>
        <w:pStyle w:val="ListBullet"/>
        <w:spacing w:after="50"/>
        <w:ind w:left="360" w:hanging="173"/>
      </w:pPr>
      <w:r>
        <w:rPr>
          <w:rFonts w:ascii="Aptos" w:hAnsi="Aptos"/>
          <w:color w:val="0A172A"/>
          <w:sz w:val="21"/>
        </w:rPr>
        <w:t>For an embed, replace the example src with the public GitHub Pages game URL.</w:t>
      </w:r>
    </w:p>
    <w:p>
      <w:pPr>
        <w:pStyle w:val="ListBullet"/>
        <w:spacing w:after="50"/>
        <w:ind w:left="360" w:hanging="173"/>
      </w:pPr>
      <w:r>
        <w:rPr>
          <w:rFonts w:ascii="Aptos" w:hAnsi="Aptos"/>
          <w:color w:val="0A172A"/>
          <w:sz w:val="21"/>
        </w:rPr>
        <w:t>Use 900 pixels as a starting height and increase it if your LMS layout creates internal scrolling.</w:t>
      </w:r>
    </w:p>
    <w:p>
      <w:pPr>
        <w:pStyle w:val="ListBullet"/>
        <w:spacing w:after="50"/>
        <w:ind w:left="360" w:hanging="173"/>
      </w:pPr>
      <w:r>
        <w:rPr>
          <w:rFonts w:ascii="Aptos" w:hAnsi="Aptos"/>
          <w:color w:val="0A172A"/>
          <w:sz w:val="21"/>
        </w:rPr>
        <w:t>Save the LMS page and verify the activity in the learner/student view, when available, on desktop and mobile.</w:t>
      </w:r>
    </w:p>
    <w:p>
      <w:pPr>
        <w:pStyle w:val="ListBullet"/>
      </w:pPr>
      <w:r>
        <w:t>If the LMS or institution blocks external iframes, use the same public HTTPS URL as an external course link.</w:t>
      </w:r>
    </w:p>
    <w:p>
      <w:pPr>
        <w:pStyle w:val="Heading2"/>
        <w:pageBreakBefore/>
      </w:pPr>
      <w:r>
        <w:t>Before you assign it</w:t>
      </w:r>
    </w:p>
    <w:p>
      <w:pPr>
        <w:pStyle w:val="ListBullet"/>
        <w:spacing w:after="50"/>
        <w:ind w:left="360" w:hanging="173"/>
      </w:pPr>
      <w:r>
        <w:rPr>
          <w:rFonts w:ascii="Aptos" w:hAnsi="Aptos"/>
          <w:color w:val="0A172A"/>
          <w:sz w:val="21"/>
        </w:rPr>
        <w:t>Launch every mode you enabled.</w:t>
      </w:r>
    </w:p>
    <w:p>
      <w:pPr>
        <w:pStyle w:val="ListBullet"/>
        <w:spacing w:after="50"/>
        <w:ind w:left="360" w:hanging="173"/>
      </w:pPr>
      <w:r>
        <w:rPr>
          <w:rFonts w:ascii="Aptos" w:hAnsi="Aptos"/>
          <w:color w:val="0A172A"/>
          <w:sz w:val="21"/>
        </w:rPr>
        <w:t>Miss questions intentionally so you see setbacks and adaptive repair behavior.</w:t>
      </w:r>
    </w:p>
    <w:p>
      <w:pPr>
        <w:pStyle w:val="ListBullet"/>
        <w:spacing w:after="50"/>
        <w:ind w:left="360" w:hanging="173"/>
      </w:pPr>
      <w:r>
        <w:rPr>
          <w:rFonts w:ascii="Aptos" w:hAnsi="Aptos"/>
          <w:color w:val="0A172A"/>
          <w:sz w:val="21"/>
        </w:rPr>
        <w:t>Verify Timed Trial continues until the ten-minute clock expires.</w:t>
      </w:r>
    </w:p>
    <w:p>
      <w:pPr>
        <w:pStyle w:val="ListBullet"/>
        <w:spacing w:after="50"/>
        <w:ind w:left="360" w:hanging="173"/>
      </w:pPr>
      <w:r>
        <w:rPr>
          <w:rFonts w:ascii="Aptos" w:hAnsi="Aptos"/>
          <w:color w:val="0A172A"/>
          <w:sz w:val="21"/>
        </w:rPr>
        <w:t>Verify Exam Drill follows its own 30-room practice completion path.</w:t>
      </w:r>
    </w:p>
    <w:p>
      <w:pPr>
        <w:pStyle w:val="ListBullet"/>
        <w:spacing w:after="50"/>
        <w:ind w:left="360" w:hanging="173"/>
      </w:pPr>
      <w:r>
        <w:t>Check graphs, mobile layout, result screens, Mastery Report 2.0, and any evidence students must submit.</w:t>
      </w:r>
    </w:p>
    <w:p>
      <w:pPr>
        <w:pStyle w:val="ListBullet"/>
        <w:spacing w:after="50"/>
        <w:ind w:left="360" w:hanging="173"/>
      </w:pPr>
      <w:r>
        <w:t>Confirm the selected artwork is recognizable, gameplay text remains readable, and Guide, hallway, Boss, Artifact, and mode images appear where configured.</w:t>
      </w:r>
    </w:p>
    <w:p>
      <w:pPr>
        <w:pStyle w:val="ListBullet"/>
      </w:pPr>
      <w:r>
        <w:t>When a meaningful weakness maps to an available review, open the recommended one-page Concept Review from the Mastery Quests web library and confirm the student can return to practice.</w:t>
      </w:r>
    </w:p>
    <w:p>
      <w:pPr>
        <w:pStyle w:val="ListBullet"/>
        <w:spacing w:after="50"/>
        <w:ind w:left="360" w:hanging="173"/>
      </w:pPr>
      <w:r>
        <w:rPr>
          <w:rFonts w:ascii="Aptos" w:hAnsi="Aptos"/>
          <w:color w:val="0A172A"/>
          <w:sz w:val="21"/>
        </w:rPr>
        <w:t>Remember that progress and run data stay in the learner’s browser unless the learner deliberately downloads and submits a file.</w:t>
      </w:r>
    </w:p>
    <w:sectPr w:rsidR="00FC693F" w:rsidRPr="0006063C" w:rsidSect="00034616">
      <w:headerReference w:type="default" r:id="rId9"/>
      <w:footerReference w:type="default" r:id="rId10"/>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B7A"/>
        <w:sz w:val="16"/>
      </w:rPr>
      <w:t>masteryquests.org  •  Current faculty workflow</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F6B7A"/>
        <w:sz w:val="16"/>
      </w:rPr>
      <w:t>MASTERY QUESTS  •  FACULTY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0A17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w:hAnsi="Aptos"/>
      <w:b/>
      <w:bCs/>
      <w:color w:val="062454"/>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06245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062454"/>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F6B7A"/>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60"/>
    </w:pPr>
    <w:rPr>
      <w:rFonts w:ascii="Aptos" w:hAnsi="Aptos"/>
      <w:b/>
      <w:color w:val="0FA9A5"/>
      <w:sz w:val="17"/>
    </w:rPr>
  </w:style>
  <w:style w:type="paragraph" w:customStyle="1" w:styleId="Callout">
    <w:name w:val="Callout"/>
    <w:pPr>
      <w:ind w:left="259" w:right="144"/>
    </w:pPr>
    <w:rPr>
      <w:rFonts w:ascii="Aptos" w:hAnsi="Aptos"/>
      <w:color w:val="0A172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